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DE" w:rsidRDefault="00BB15DE" w:rsidP="00BB15DE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6CE6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</w:t>
      </w:r>
    </w:p>
    <w:p w:rsidR="00934C9B" w:rsidRPr="00934C9B" w:rsidRDefault="00BB15DE" w:rsidP="00BB15D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8F5F68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«Янаульские электрические сети»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ВОССТАНОВЛЕНИЕ (ПЕРЕОФОРМЛЕНИЕ)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4C9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ЗАЯВИТЕЛЕЙ: </w:t>
      </w:r>
      <w:r w:rsidRPr="00934C9B">
        <w:rPr>
          <w:rFonts w:ascii="Times New Roman" w:eastAsia="Times New Roman" w:hAnsi="Times New Roman" w:cs="Times New Roman"/>
          <w:sz w:val="24"/>
          <w:szCs w:val="24"/>
        </w:rPr>
        <w:t>физическое лицо, индивидуальный предприниматель или юридическое лицо, владеющее электроустановками (энергопринимающими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</w:t>
      </w:r>
      <w:proofErr w:type="gramEnd"/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934C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4C9B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Pr="00934C9B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не более 1 000 руб. 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РЕЗУЛЬТАТ ОКАЗАНИЯ УСЛУГИ (ПРОЦЕССА):</w:t>
      </w:r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выдача заявителю следующих документов о технологическом присоединении: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дубликаты ранее выданных технических условий;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дубликат акта о выполнении заявителем технических условий;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дубликат акта осмотра (обследования) электроустановки;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новые технические условия с внесенными в них изменениями;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новый акт осмотра (обследования) электроустановок заявителя с внесенными в него изменениями.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новый акт о технологическом присоединении;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новый акт разграничения балансовой принадлежности сторон;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sz w:val="24"/>
          <w:szCs w:val="24"/>
        </w:rPr>
        <w:t>- новый акт согласования технологической и (или) аварийной брони.</w:t>
      </w:r>
    </w:p>
    <w:p w:rsidR="00934C9B" w:rsidRPr="00934C9B" w:rsidRDefault="00934C9B" w:rsidP="00934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ОБЩИЙ СРОК ОКАЗАНИЯ УСЛУГИ (ПРОЦЕССА):</w:t>
      </w:r>
    </w:p>
    <w:p w:rsidR="00934C9B" w:rsidRPr="00934C9B" w:rsidRDefault="00934C9B" w:rsidP="00934C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4C9B">
        <w:rPr>
          <w:rFonts w:ascii="Times New Roman" w:eastAsia="Times New Roman" w:hAnsi="Times New Roman" w:cs="Times New Roman"/>
          <w:sz w:val="24"/>
          <w:szCs w:val="24"/>
        </w:rPr>
        <w:t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  <w:proofErr w:type="gramEnd"/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4C9B">
        <w:rPr>
          <w:rFonts w:ascii="Times New Roman" w:eastAsia="Times New Roman" w:hAnsi="Times New Roman" w:cs="Times New Roman"/>
          <w:sz w:val="24"/>
          <w:szCs w:val="24"/>
        </w:rPr>
        <w:t>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</w:t>
      </w:r>
      <w:proofErr w:type="gramEnd"/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934C9B" w:rsidRP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4C9B">
        <w:rPr>
          <w:rFonts w:ascii="Times New Roman" w:eastAsia="Times New Roman" w:hAnsi="Times New Roman" w:cs="Times New Roman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</w:t>
      </w:r>
      <w:proofErr w:type="gramEnd"/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34C9B">
        <w:rPr>
          <w:rFonts w:ascii="Times New Roman" w:eastAsia="Times New Roman" w:hAnsi="Times New Roman" w:cs="Times New Roman"/>
          <w:sz w:val="24"/>
          <w:szCs w:val="24"/>
        </w:rPr>
        <w:t>Правил технологического присоединения).</w:t>
      </w:r>
      <w:proofErr w:type="gramEnd"/>
    </w:p>
    <w:p w:rsidR="00934C9B" w:rsidRDefault="00934C9B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436" w:rsidRDefault="00470436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436" w:rsidRDefault="00470436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436" w:rsidRDefault="00470436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436" w:rsidRDefault="00470436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436" w:rsidRDefault="00470436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436" w:rsidRDefault="00470436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436" w:rsidRDefault="00470436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436" w:rsidRDefault="00470436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436" w:rsidRPr="00934C9B" w:rsidRDefault="00470436" w:rsidP="0093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C9B" w:rsidRPr="00934C9B" w:rsidRDefault="00934C9B" w:rsidP="00934C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W w:w="5181" w:type="pct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353"/>
        <w:gridCol w:w="374"/>
        <w:gridCol w:w="4161"/>
        <w:gridCol w:w="2834"/>
        <w:gridCol w:w="2111"/>
        <w:gridCol w:w="3003"/>
      </w:tblGrid>
      <w:tr w:rsidR="00934C9B" w:rsidRPr="00934C9B" w:rsidTr="00EE0350">
        <w:trPr>
          <w:tblHeader/>
        </w:trPr>
        <w:tc>
          <w:tcPr>
            <w:tcW w:w="158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934C9B" w:rsidRPr="00934C9B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8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34C9B" w:rsidRPr="00934C9B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2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34C9B" w:rsidRPr="00934C9B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34C9B" w:rsidRPr="00934C9B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Содержание</w:t>
            </w:r>
            <w:r w:rsidR="00EE035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/</w:t>
            </w:r>
            <w:r w:rsidR="00EE0350" w:rsidRPr="00934C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Условие этапа</w:t>
            </w:r>
          </w:p>
        </w:tc>
        <w:tc>
          <w:tcPr>
            <w:tcW w:w="92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34C9B" w:rsidRPr="00934C9B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6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934C9B" w:rsidRPr="00934C9B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934C9B" w:rsidRPr="00934C9B" w:rsidRDefault="00934C9B" w:rsidP="00934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EE0350" w:rsidRPr="00934C9B" w:rsidTr="00EE0350">
        <w:tc>
          <w:tcPr>
            <w:tcW w:w="158" w:type="pct"/>
            <w:vMerge w:val="restart"/>
            <w:tcBorders>
              <w:top w:val="double" w:sz="4" w:space="0" w:color="4F81BD"/>
              <w:bottom w:val="single" w:sz="8" w:space="0" w:color="4F81BD"/>
            </w:tcBorders>
          </w:tcPr>
          <w:p w:rsidR="00EE0350" w:rsidRPr="00934C9B" w:rsidRDefault="00EE0350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заявки на восстановление (переоформления) документов о технологическом присоединении </w:t>
            </w:r>
          </w:p>
        </w:tc>
        <w:tc>
          <w:tcPr>
            <w:tcW w:w="122" w:type="pct"/>
            <w:vMerge w:val="restart"/>
            <w:tcBorders>
              <w:top w:val="double" w:sz="4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1.1.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Обстоятельства, требующие внесения изменений в документы о технологическом присоединении Заявитель подает заявку на восстановление (переоформление) документов о технологическом присоединении</w:t>
            </w:r>
          </w:p>
        </w:tc>
        <w:tc>
          <w:tcPr>
            <w:tcW w:w="925" w:type="pct"/>
            <w:tcBorders>
              <w:top w:val="double" w:sz="4" w:space="0" w:color="4F81BD"/>
              <w:bottom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уведомлением,</w:t>
            </w:r>
          </w:p>
          <w:p w:rsidR="00EE0350" w:rsidRPr="00934C9B" w:rsidRDefault="00EE0350" w:rsidP="008F5F68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(Дополнительно может быть реализован прием заявки по электронной форме на сайте </w:t>
            </w:r>
            <w:r w:rsidR="008F5F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 «Янаульские электрические сети»</w:t>
            </w:r>
            <w:r w:rsidRPr="00934C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70436">
              <w:rPr>
                <w:rFonts w:ascii="Times New Roman" w:eastAsia="Times New Roman" w:hAnsi="Times New Roman" w:cs="Times New Roman"/>
                <w:sz w:val="24"/>
                <w:szCs w:val="24"/>
              </w:rPr>
              <w:t>.yanelektr.ru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Личный кабинет)</w:t>
            </w:r>
          </w:p>
        </w:tc>
        <w:tc>
          <w:tcPr>
            <w:tcW w:w="68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срока действия договора об осуществлении технологического присоединения</w:t>
            </w:r>
          </w:p>
        </w:tc>
        <w:tc>
          <w:tcPr>
            <w:tcW w:w="980" w:type="pct"/>
            <w:tcBorders>
              <w:top w:val="double" w:sz="4" w:space="0" w:color="4F81BD"/>
              <w:bottom w:val="single" w:sz="8" w:space="0" w:color="4F81BD"/>
            </w:tcBorders>
          </w:tcPr>
          <w:p w:rsidR="00EE0350" w:rsidRPr="00934C9B" w:rsidRDefault="00EE0350" w:rsidP="00934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57, 63, 64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350" w:rsidRPr="00934C9B" w:rsidTr="00EE0350">
        <w:trPr>
          <w:trHeight w:val="86"/>
        </w:trPr>
        <w:tc>
          <w:tcPr>
            <w:tcW w:w="158" w:type="pct"/>
            <w:vMerge/>
          </w:tcPr>
          <w:p w:rsidR="00EE0350" w:rsidRPr="00934C9B" w:rsidRDefault="00EE0350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left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1.2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отсутствии сведений и </w:t>
            </w:r>
            <w:proofErr w:type="gram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 установленных законодательством Сетевая организация делает</w:t>
            </w:r>
            <w:proofErr w:type="gram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отметку в заявке о недостающих сведениях и/или документах </w:t>
            </w:r>
          </w:p>
        </w:tc>
        <w:tc>
          <w:tcPr>
            <w:tcW w:w="925" w:type="pct"/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left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Arial Narrow" w:eastAsia="Times New Roman" w:hAnsi="Arial Narrow" w:cs="Times New Roman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80" w:type="pct"/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60-64,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350" w:rsidRPr="00934C9B" w:rsidTr="00EE0350">
        <w:trPr>
          <w:trHeight w:val="86"/>
        </w:trPr>
        <w:tc>
          <w:tcPr>
            <w:tcW w:w="158" w:type="pct"/>
            <w:tcBorders>
              <w:top w:val="single" w:sz="8" w:space="0" w:color="4F81BD"/>
              <w:bottom w:val="single" w:sz="8" w:space="0" w:color="4F81BD"/>
            </w:tcBorders>
          </w:tcPr>
          <w:p w:rsidR="00EE0350" w:rsidRPr="00934C9B" w:rsidRDefault="00EE0350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proofErr w:type="gram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факта наличия надлежащего технологического присоединения электроустановки заявителя</w:t>
            </w:r>
            <w:proofErr w:type="gram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электрическим сетям сетевой организации</w:t>
            </w:r>
          </w:p>
        </w:tc>
        <w:tc>
          <w:tcPr>
            <w:tcW w:w="122" w:type="pct"/>
            <w:tcBorders>
              <w:top w:val="single" w:sz="8" w:space="0" w:color="4F81BD"/>
              <w:bottom w:val="single" w:sz="8" w:space="0" w:color="4F81BD"/>
            </w:tcBorders>
          </w:tcPr>
          <w:p w:rsidR="00EE0350" w:rsidRPr="00934C9B" w:rsidRDefault="00EE0350" w:rsidP="006B3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0350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  <w:proofErr w:type="gram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материалов о ранее состоявшемся присоединении в архиве сетевой организации, направление сетевой организацией субъекту оперативно-диспетчерского управления запроса  о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предоставлении копий технических условий</w:t>
            </w:r>
          </w:p>
        </w:tc>
        <w:tc>
          <w:tcPr>
            <w:tcW w:w="925" w:type="pct"/>
            <w:tcBorders>
              <w:top w:val="single" w:sz="8" w:space="0" w:color="4F81BD"/>
              <w:bottom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68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80" w:type="pct"/>
            <w:tcBorders>
              <w:top w:val="single" w:sz="8" w:space="0" w:color="4F81BD"/>
              <w:bottom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350" w:rsidRPr="00934C9B" w:rsidTr="00EE0350">
        <w:trPr>
          <w:trHeight w:val="86"/>
        </w:trPr>
        <w:tc>
          <w:tcPr>
            <w:tcW w:w="158" w:type="pct"/>
            <w:vMerge w:val="restart"/>
          </w:tcPr>
          <w:p w:rsidR="00EE0350" w:rsidRPr="00934C9B" w:rsidRDefault="00EE0350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8" w:type="pct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дубликатов документов о технологическом присоединении  или новых документов о технологическом присоединении.</w:t>
            </w:r>
          </w:p>
        </w:tc>
        <w:tc>
          <w:tcPr>
            <w:tcW w:w="122" w:type="pct"/>
            <w:vMerge w:val="restart"/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left w:val="single" w:sz="8" w:space="0" w:color="4F81BD"/>
              <w:right w:val="single" w:sz="8" w:space="0" w:color="4F81BD"/>
            </w:tcBorders>
          </w:tcPr>
          <w:p w:rsidR="00EE0350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3.1.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 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Осмотр энергопринимающих устройств заявителя 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left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350" w:rsidRPr="00934C9B" w:rsidTr="00EE0350">
        <w:trPr>
          <w:trHeight w:val="86"/>
        </w:trPr>
        <w:tc>
          <w:tcPr>
            <w:tcW w:w="15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EE0350" w:rsidRPr="00934C9B" w:rsidRDefault="00EE0350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3.2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925" w:type="pct"/>
            <w:tcBorders>
              <w:top w:val="single" w:sz="8" w:space="0" w:color="4F81BD"/>
              <w:bottom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</w:p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68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tcBorders>
              <w:top w:val="single" w:sz="8" w:space="0" w:color="4F81BD"/>
              <w:bottom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350" w:rsidRPr="00934C9B" w:rsidTr="00EE0350">
        <w:trPr>
          <w:trHeight w:val="86"/>
        </w:trPr>
        <w:tc>
          <w:tcPr>
            <w:tcW w:w="158" w:type="pct"/>
            <w:vMerge/>
          </w:tcPr>
          <w:p w:rsidR="00EE0350" w:rsidRPr="00934C9B" w:rsidRDefault="00EE0350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left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3.3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ранее выданные технические условия подлежали согласованию с субъектом оперативно-диспетчерского управления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заявления и новых 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925" w:type="pct"/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689" w:type="pct"/>
            <w:tcBorders>
              <w:left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 рабочих дня </w:t>
            </w:r>
            <w:proofErr w:type="gram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заявления – в отношении смежных сетевых организаций и владельцев объектов по производству электрической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энергии;</w:t>
            </w:r>
          </w:p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- 2 рабочих дня при восстановлении утраченных документов о ТП;</w:t>
            </w:r>
          </w:p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0" w:type="pct"/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Пункты 58, 68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350" w:rsidRPr="00934C9B" w:rsidTr="00EE0350">
        <w:trPr>
          <w:trHeight w:val="86"/>
        </w:trPr>
        <w:tc>
          <w:tcPr>
            <w:tcW w:w="15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EE0350" w:rsidRPr="00934C9B" w:rsidRDefault="00EE0350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 w:val="restart"/>
            <w:tcBorders>
              <w:top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3.4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частичном отступлении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925" w:type="pct"/>
            <w:tcBorders>
              <w:top w:val="single" w:sz="8" w:space="0" w:color="4F81BD"/>
              <w:bottom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дней </w:t>
            </w:r>
            <w:proofErr w:type="gramStart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обращения</w:t>
            </w:r>
            <w:proofErr w:type="gramEnd"/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980" w:type="pct"/>
            <w:tcBorders>
              <w:top w:val="single" w:sz="8" w:space="0" w:color="4F81BD"/>
              <w:bottom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23, 58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350" w:rsidRPr="00934C9B" w:rsidTr="00EE0350">
        <w:trPr>
          <w:trHeight w:val="86"/>
        </w:trPr>
        <w:tc>
          <w:tcPr>
            <w:tcW w:w="158" w:type="pct"/>
            <w:vMerge/>
          </w:tcPr>
          <w:p w:rsidR="00EE0350" w:rsidRPr="00934C9B" w:rsidRDefault="00EE0350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left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3.5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Направление (выдача при 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925" w:type="pct"/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позволяющим подтвердить факт получения, или выдача заявителю в офисе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обслуживания потребителей</w:t>
            </w:r>
          </w:p>
        </w:tc>
        <w:tc>
          <w:tcPr>
            <w:tcW w:w="689" w:type="pct"/>
            <w:tcBorders>
              <w:left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сроки, указанные в Общем сроке оказания услуги (процесса)</w:t>
            </w:r>
          </w:p>
        </w:tc>
        <w:tc>
          <w:tcPr>
            <w:tcW w:w="980" w:type="pct"/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70-72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350" w:rsidRPr="00934C9B" w:rsidTr="00EE0350">
        <w:trPr>
          <w:trHeight w:val="86"/>
        </w:trPr>
        <w:tc>
          <w:tcPr>
            <w:tcW w:w="158" w:type="pct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EE0350" w:rsidRPr="00934C9B" w:rsidRDefault="00EE0350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 w:val="restart"/>
            <w:tcBorders>
              <w:top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0350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3.6. 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технологическое присоединение состоялось после 01.01.2010г.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дубликатов ранее оформленных документов о технологическом присоединении</w:t>
            </w:r>
          </w:p>
        </w:tc>
        <w:tc>
          <w:tcPr>
            <w:tcW w:w="925" w:type="pct"/>
            <w:tcBorders>
              <w:top w:val="single" w:sz="8" w:space="0" w:color="4F81BD"/>
              <w:bottom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8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7 дней со дня получения заявления</w:t>
            </w:r>
          </w:p>
        </w:tc>
        <w:tc>
          <w:tcPr>
            <w:tcW w:w="980" w:type="pct"/>
            <w:tcBorders>
              <w:top w:val="single" w:sz="8" w:space="0" w:color="4F81BD"/>
              <w:bottom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E0350" w:rsidRPr="00934C9B" w:rsidTr="00EE0350">
        <w:trPr>
          <w:trHeight w:val="86"/>
        </w:trPr>
        <w:tc>
          <w:tcPr>
            <w:tcW w:w="158" w:type="pct"/>
            <w:vMerge/>
            <w:tcBorders>
              <w:bottom w:val="single" w:sz="8" w:space="0" w:color="4F81BD"/>
            </w:tcBorders>
          </w:tcPr>
          <w:p w:rsidR="00EE0350" w:rsidRPr="00934C9B" w:rsidRDefault="00EE0350" w:rsidP="00934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768" w:type="pct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pct"/>
            <w:vMerge/>
            <w:tcBorders>
              <w:bottom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b/>
                <w:bCs/>
                <w:color w:val="548DD4"/>
                <w:sz w:val="24"/>
                <w:szCs w:val="24"/>
                <w:lang w:eastAsia="ru-RU"/>
              </w:rPr>
              <w:t>3.7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одписание заявителем 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направление  (представление в офис обслуживания потребителей) одного  экземпляра сетевой организации</w:t>
            </w:r>
          </w:p>
        </w:tc>
        <w:tc>
          <w:tcPr>
            <w:tcW w:w="925" w:type="pct"/>
            <w:tcBorders>
              <w:bottom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tcW w:w="689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 со дня получения заявителем документов</w:t>
            </w:r>
          </w:p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bottom w:val="single" w:sz="8" w:space="0" w:color="4F81BD"/>
            </w:tcBorders>
          </w:tcPr>
          <w:p w:rsidR="00EE0350" w:rsidRPr="00934C9B" w:rsidRDefault="00EE0350" w:rsidP="00934C9B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C9B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78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934C9B" w:rsidRPr="00934C9B" w:rsidRDefault="00934C9B" w:rsidP="00934C9B">
      <w:pP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6"/>
          <w:szCs w:val="26"/>
        </w:rPr>
      </w:pPr>
    </w:p>
    <w:p w:rsidR="00EE0350" w:rsidRDefault="00EE0350" w:rsidP="00934C9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EE0350" w:rsidRDefault="00EE0350" w:rsidP="00934C9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934C9B" w:rsidRDefault="00934C9B" w:rsidP="00934C9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9B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  <w:r w:rsidRPr="00934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436" w:rsidRPr="00934C9B" w:rsidRDefault="00470436" w:rsidP="00934C9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436" w:rsidRDefault="00470436" w:rsidP="00470436">
      <w:pPr>
        <w:autoSpaceDE w:val="0"/>
        <w:autoSpaceDN w:val="0"/>
        <w:adjustRightInd w:val="0"/>
        <w:spacing w:after="6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164E2">
        <w:rPr>
          <w:rFonts w:ascii="Times New Roman" w:eastAsia="Times New Roman" w:hAnsi="Times New Roman" w:cs="Times New Roman"/>
          <w:sz w:val="24"/>
          <w:szCs w:val="24"/>
        </w:rPr>
        <w:t>Контактная информация для направления обращений</w:t>
      </w:r>
      <w:proofErr w:type="gramStart"/>
      <w:r w:rsidRPr="001164E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16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0436" w:rsidRDefault="00470436" w:rsidP="00470436">
      <w:pPr>
        <w:autoSpaceDE w:val="0"/>
        <w:autoSpaceDN w:val="0"/>
        <w:adjustRightInd w:val="0"/>
        <w:spacing w:after="60" w:line="240" w:lineRule="auto"/>
        <w:ind w:left="709"/>
      </w:pPr>
      <w:r w:rsidRPr="001164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Телефон производственно-технического отдела 8(34760) 5-</w:t>
      </w:r>
      <w:r w:rsidR="008F5F68">
        <w:rPr>
          <w:rFonts w:ascii="Times New Roman" w:eastAsia="Times New Roman" w:hAnsi="Times New Roman" w:cs="Times New Roman"/>
          <w:sz w:val="24"/>
          <w:szCs w:val="24"/>
        </w:rPr>
        <w:t>12-13</w:t>
      </w:r>
      <w:bookmarkStart w:id="0" w:name="_GoBack"/>
      <w:bookmarkEnd w:id="0"/>
      <w:r w:rsidRPr="001164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 офисного здания </w:t>
      </w:r>
      <w:r w:rsidR="008F5F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64E2">
        <w:rPr>
          <w:rFonts w:ascii="Times New Roman" w:eastAsia="Times New Roman" w:hAnsi="Times New Roman" w:cs="Times New Roman"/>
          <w:sz w:val="24"/>
          <w:szCs w:val="24"/>
        </w:rPr>
        <w:t xml:space="preserve">О "Янаульские электрические сети" РФ, 452800, Республика Башкортостан, Янаульский район, г. Янаул, ул. Азина, д.7                                                                                                                                                                                                                                                            Адрес официального сайта </w:t>
      </w:r>
      <w:r w:rsidR="008F5F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64E2">
        <w:rPr>
          <w:rFonts w:ascii="Times New Roman" w:eastAsia="Times New Roman" w:hAnsi="Times New Roman" w:cs="Times New Roman"/>
          <w:sz w:val="24"/>
          <w:szCs w:val="24"/>
        </w:rPr>
        <w:t xml:space="preserve">О "Янаульские электрические сети" www.yanelektr.ru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 электронной почты </w:t>
      </w:r>
      <w:r w:rsidR="008F5F6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64E2">
        <w:rPr>
          <w:rFonts w:ascii="Times New Roman" w:eastAsia="Times New Roman" w:hAnsi="Times New Roman" w:cs="Times New Roman"/>
          <w:sz w:val="24"/>
          <w:szCs w:val="24"/>
        </w:rPr>
        <w:t>О "Янаульские электрические сети" yanel@ufamts.ru</w:t>
      </w:r>
    </w:p>
    <w:p w:rsidR="005B5A78" w:rsidRDefault="005B5A78" w:rsidP="00470436">
      <w:pPr>
        <w:autoSpaceDE w:val="0"/>
        <w:autoSpaceDN w:val="0"/>
        <w:adjustRightInd w:val="0"/>
        <w:spacing w:after="60" w:line="240" w:lineRule="auto"/>
        <w:ind w:left="709"/>
        <w:jc w:val="both"/>
      </w:pPr>
    </w:p>
    <w:sectPr w:rsidR="005B5A78" w:rsidSect="00BB15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8E" w:rsidRDefault="00817E8E" w:rsidP="00934C9B">
      <w:pPr>
        <w:spacing w:after="0" w:line="240" w:lineRule="auto"/>
      </w:pPr>
      <w:r>
        <w:separator/>
      </w:r>
    </w:p>
  </w:endnote>
  <w:endnote w:type="continuationSeparator" w:id="0">
    <w:p w:rsidR="00817E8E" w:rsidRDefault="00817E8E" w:rsidP="0093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8E" w:rsidRDefault="00817E8E" w:rsidP="00934C9B">
      <w:pPr>
        <w:spacing w:after="0" w:line="240" w:lineRule="auto"/>
      </w:pPr>
      <w:r>
        <w:separator/>
      </w:r>
    </w:p>
  </w:footnote>
  <w:footnote w:type="continuationSeparator" w:id="0">
    <w:p w:rsidR="00817E8E" w:rsidRDefault="00817E8E" w:rsidP="00934C9B">
      <w:pPr>
        <w:spacing w:after="0" w:line="240" w:lineRule="auto"/>
      </w:pPr>
      <w:r>
        <w:continuationSeparator/>
      </w:r>
    </w:p>
  </w:footnote>
  <w:footnote w:id="1">
    <w:p w:rsidR="00934C9B" w:rsidRDefault="00934C9B" w:rsidP="00934C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0119E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9B"/>
    <w:rsid w:val="001469D2"/>
    <w:rsid w:val="00183074"/>
    <w:rsid w:val="00470436"/>
    <w:rsid w:val="00517FD5"/>
    <w:rsid w:val="005B5A78"/>
    <w:rsid w:val="00764393"/>
    <w:rsid w:val="00817E8E"/>
    <w:rsid w:val="008E1ACC"/>
    <w:rsid w:val="008F5F68"/>
    <w:rsid w:val="00934C9B"/>
    <w:rsid w:val="00BB15DE"/>
    <w:rsid w:val="00C94AE2"/>
    <w:rsid w:val="00D60AF3"/>
    <w:rsid w:val="00EE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C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C9B"/>
    <w:rPr>
      <w:sz w:val="20"/>
      <w:szCs w:val="20"/>
    </w:rPr>
  </w:style>
  <w:style w:type="character" w:styleId="a5">
    <w:name w:val="footnote reference"/>
    <w:basedOn w:val="a0"/>
    <w:rsid w:val="00934C9B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934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C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C9B"/>
    <w:rPr>
      <w:sz w:val="20"/>
      <w:szCs w:val="20"/>
    </w:rPr>
  </w:style>
  <w:style w:type="character" w:styleId="a5">
    <w:name w:val="footnote reference"/>
    <w:basedOn w:val="a0"/>
    <w:rsid w:val="00934C9B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934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user</cp:lastModifiedBy>
  <cp:revision>4</cp:revision>
  <dcterms:created xsi:type="dcterms:W3CDTF">2017-08-25T11:01:00Z</dcterms:created>
  <dcterms:modified xsi:type="dcterms:W3CDTF">2020-03-03T10:40:00Z</dcterms:modified>
</cp:coreProperties>
</file>